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402873">
        <w:rPr>
          <w:b/>
          <w:sz w:val="24"/>
          <w:lang w:val="vi-VN"/>
        </w:rPr>
        <w:t>6</w:t>
      </w:r>
      <w:r w:rsidR="00E576D3">
        <w:rPr>
          <w:b/>
          <w:sz w:val="24"/>
          <w:lang w:val="vi-VN"/>
        </w:rPr>
        <w:t xml:space="preserve"> </w:t>
      </w:r>
      <w:r w:rsidR="00402873">
        <w:rPr>
          <w:b/>
          <w:sz w:val="24"/>
          <w:lang w:val="vi-VN"/>
        </w:rPr>
        <w:t>-</w:t>
      </w:r>
      <w:r w:rsidR="00F73673" w:rsidRPr="00F73673">
        <w:rPr>
          <w:b/>
          <w:sz w:val="24"/>
          <w:lang w:val="vi-VN"/>
        </w:rPr>
        <w:t xml:space="preserve">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402873" w:rsidRPr="00402873" w:rsidRDefault="00402873" w:rsidP="00402873">
            <w:pPr>
              <w:pStyle w:val="TableParagraph"/>
              <w:jc w:val="both"/>
              <w:rPr>
                <w:rFonts w:eastAsia="SimSun"/>
                <w:sz w:val="24"/>
                <w:szCs w:val="24"/>
                <w:lang w:val="vi-VN"/>
              </w:rPr>
            </w:pPr>
            <w:r w:rsidRPr="00402873">
              <w:rPr>
                <w:rFonts w:eastAsia="SimSun"/>
                <w:sz w:val="24"/>
                <w:szCs w:val="24"/>
                <w:lang w:val="vi-VN"/>
              </w:rPr>
              <w:t>Quyền sử dụng đất:</w:t>
            </w:r>
          </w:p>
          <w:p w:rsidR="00F83373" w:rsidRPr="0048560E" w:rsidRDefault="00402873" w:rsidP="00402873">
            <w:pPr>
              <w:pStyle w:val="TableParagraph"/>
              <w:ind w:left="0"/>
              <w:jc w:val="both"/>
              <w:rPr>
                <w:sz w:val="24"/>
                <w:szCs w:val="24"/>
                <w:lang w:val="vi-VN"/>
              </w:rPr>
            </w:pPr>
            <w:r w:rsidRPr="00402873">
              <w:rPr>
                <w:rFonts w:eastAsia="SimSun"/>
                <w:sz w:val="24"/>
                <w:szCs w:val="24"/>
                <w:lang w:val="vi-VN"/>
              </w:rPr>
              <w:t xml:space="preserve">Thửa đất số 104, tờ bản đồ số 52, địa chỉ: xã Ba Vì, tỉnh Quảng </w:t>
            </w:r>
            <w:r>
              <w:rPr>
                <w:rFonts w:eastAsia="SimSun"/>
                <w:sz w:val="24"/>
                <w:szCs w:val="24"/>
                <w:lang w:val="vi-VN"/>
              </w:rPr>
              <w:t xml:space="preserve">Ngãi theo </w:t>
            </w:r>
            <w:r w:rsidRPr="00402873">
              <w:rPr>
                <w:rFonts w:eastAsia="SimSun"/>
                <w:sz w:val="24"/>
                <w:szCs w:val="24"/>
                <w:lang w:val="vi-VN"/>
              </w:rPr>
              <w:t>Giấy chứng nhận quyền sử dụng đất số phát hành CL 667166, số vào sổ CS06917 cấp ngày 09/01/2018. Người sử dụng đất: Nguyễn Thị Thu Xiế</w:t>
            </w:r>
            <w:r>
              <w:rPr>
                <w:rFonts w:eastAsia="SimSun"/>
                <w:sz w:val="24"/>
                <w:szCs w:val="24"/>
                <w:lang w:val="vi-VN"/>
              </w:rPr>
              <w:t>u</w:t>
            </w:r>
            <w:r w:rsidRPr="00402873">
              <w:rPr>
                <w:rFonts w:eastAsia="SimSun"/>
                <w:sz w:val="24"/>
                <w:szCs w:val="24"/>
                <w:lang w:val="vi-VN"/>
              </w:rPr>
              <w:t>.</w:t>
            </w:r>
          </w:p>
        </w:tc>
        <w:tc>
          <w:tcPr>
            <w:tcW w:w="1276" w:type="dxa"/>
          </w:tcPr>
          <w:p w:rsidR="00402873" w:rsidRDefault="00402873" w:rsidP="00C02BD7">
            <w:pPr>
              <w:pStyle w:val="TableParagraph"/>
              <w:ind w:left="0"/>
              <w:jc w:val="center"/>
              <w:rPr>
                <w:color w:val="000000"/>
                <w:lang w:val="vi-VN"/>
              </w:rPr>
            </w:pPr>
          </w:p>
          <w:p w:rsidR="00402873" w:rsidRPr="00811FD1" w:rsidRDefault="00402873" w:rsidP="00C02BD7">
            <w:pPr>
              <w:pStyle w:val="TableParagraph"/>
              <w:ind w:left="0"/>
              <w:jc w:val="center"/>
              <w:rPr>
                <w:color w:val="000000"/>
                <w:sz w:val="20"/>
                <w:lang w:val="vi-VN"/>
              </w:rPr>
            </w:pPr>
          </w:p>
          <w:p w:rsidR="00402873" w:rsidRDefault="00402873" w:rsidP="00C02BD7">
            <w:pPr>
              <w:pStyle w:val="TableParagraph"/>
              <w:ind w:left="0"/>
              <w:jc w:val="center"/>
              <w:rPr>
                <w:color w:val="000000"/>
                <w:lang w:val="vi-VN"/>
              </w:rPr>
            </w:pPr>
          </w:p>
          <w:p w:rsidR="00F83373" w:rsidRPr="00DD3E4C" w:rsidRDefault="008915F3" w:rsidP="00C02BD7">
            <w:pPr>
              <w:pStyle w:val="TableParagraph"/>
              <w:ind w:left="0"/>
              <w:jc w:val="center"/>
              <w:rPr>
                <w:sz w:val="24"/>
                <w:szCs w:val="24"/>
              </w:rPr>
            </w:pPr>
            <w:r w:rsidRPr="008915F3">
              <w:rPr>
                <w:color w:val="000000"/>
                <w:lang w:val="vi-VN"/>
              </w:rPr>
              <w:t>181.338.000</w:t>
            </w:r>
          </w:p>
        </w:tc>
        <w:tc>
          <w:tcPr>
            <w:tcW w:w="1276" w:type="dxa"/>
          </w:tcPr>
          <w:p w:rsidR="00402873" w:rsidRDefault="00402873" w:rsidP="00F83373">
            <w:pPr>
              <w:pStyle w:val="TableParagraph"/>
              <w:ind w:left="0"/>
              <w:jc w:val="center"/>
              <w:rPr>
                <w:sz w:val="24"/>
                <w:szCs w:val="24"/>
                <w:lang w:val="vi-VN"/>
              </w:rPr>
            </w:pPr>
          </w:p>
          <w:p w:rsidR="00402873" w:rsidRDefault="00402873" w:rsidP="00F83373">
            <w:pPr>
              <w:pStyle w:val="TableParagraph"/>
              <w:ind w:left="0"/>
              <w:jc w:val="center"/>
              <w:rPr>
                <w:sz w:val="24"/>
                <w:szCs w:val="24"/>
                <w:lang w:val="vi-VN"/>
              </w:rPr>
            </w:pPr>
          </w:p>
          <w:p w:rsidR="00402873" w:rsidRPr="00402873" w:rsidRDefault="00402873" w:rsidP="00F83373">
            <w:pPr>
              <w:pStyle w:val="TableParagraph"/>
              <w:ind w:left="0"/>
              <w:jc w:val="center"/>
              <w:rPr>
                <w:sz w:val="14"/>
                <w:szCs w:val="24"/>
                <w:lang w:val="vi-VN"/>
              </w:rPr>
            </w:pPr>
          </w:p>
          <w:p w:rsidR="00F83373" w:rsidRPr="0048560E" w:rsidRDefault="008915F3" w:rsidP="00F83373">
            <w:pPr>
              <w:pStyle w:val="TableParagraph"/>
              <w:ind w:left="0"/>
              <w:jc w:val="center"/>
              <w:rPr>
                <w:sz w:val="24"/>
                <w:szCs w:val="24"/>
                <w:lang w:val="vi-VN"/>
              </w:rPr>
            </w:pPr>
            <w:r w:rsidRPr="008915F3">
              <w:rPr>
                <w:sz w:val="24"/>
                <w:szCs w:val="24"/>
                <w:lang w:val="vi-VN"/>
              </w:rPr>
              <w:t>36.267.000</w:t>
            </w:r>
          </w:p>
        </w:tc>
        <w:tc>
          <w:tcPr>
            <w:tcW w:w="1134" w:type="dxa"/>
          </w:tcPr>
          <w:p w:rsidR="00402873" w:rsidRDefault="00402873" w:rsidP="00F83373">
            <w:pPr>
              <w:pStyle w:val="TableParagraph"/>
              <w:ind w:left="0"/>
              <w:jc w:val="center"/>
              <w:rPr>
                <w:sz w:val="24"/>
                <w:szCs w:val="24"/>
                <w:lang w:val="vi-VN"/>
              </w:rPr>
            </w:pPr>
          </w:p>
          <w:p w:rsidR="00402873" w:rsidRPr="00402873" w:rsidRDefault="00402873" w:rsidP="00F83373">
            <w:pPr>
              <w:pStyle w:val="TableParagraph"/>
              <w:ind w:left="0"/>
              <w:jc w:val="center"/>
              <w:rPr>
                <w:sz w:val="14"/>
                <w:szCs w:val="24"/>
                <w:lang w:val="vi-VN"/>
              </w:rPr>
            </w:pPr>
          </w:p>
          <w:p w:rsidR="00402873" w:rsidRDefault="00402873" w:rsidP="00F83373">
            <w:pPr>
              <w:pStyle w:val="TableParagraph"/>
              <w:ind w:left="0"/>
              <w:jc w:val="center"/>
              <w:rPr>
                <w:sz w:val="24"/>
                <w:szCs w:val="24"/>
                <w:lang w:val="vi-VN"/>
              </w:rPr>
            </w:pPr>
          </w:p>
          <w:p w:rsidR="00F83373" w:rsidRPr="0048560E" w:rsidRDefault="00402873" w:rsidP="00402873">
            <w:pPr>
              <w:pStyle w:val="TableParagraph"/>
              <w:ind w:left="0"/>
              <w:jc w:val="center"/>
              <w:rPr>
                <w:sz w:val="24"/>
                <w:szCs w:val="24"/>
                <w:lang w:val="vi-VN"/>
              </w:rPr>
            </w:pPr>
            <w:r>
              <w:rPr>
                <w:sz w:val="24"/>
                <w:szCs w:val="24"/>
                <w:lang w:val="vi-VN"/>
              </w:rPr>
              <w:t>4</w:t>
            </w:r>
            <w:r w:rsidR="00F83373">
              <w:rPr>
                <w:sz w:val="24"/>
                <w:szCs w:val="24"/>
                <w:lang w:val="vi-VN"/>
              </w:rPr>
              <w:t>.</w:t>
            </w:r>
            <w:r>
              <w:rPr>
                <w:sz w:val="24"/>
                <w:szCs w:val="24"/>
                <w:lang w:val="vi-VN"/>
              </w:rPr>
              <w:t>5</w:t>
            </w:r>
            <w:r w:rsidR="00F83373" w:rsidRPr="00C62F45">
              <w:rPr>
                <w:sz w:val="24"/>
                <w:szCs w:val="24"/>
                <w:lang w:val="vi-VN"/>
              </w:rPr>
              <w:t>00.000</w:t>
            </w:r>
          </w:p>
        </w:tc>
        <w:tc>
          <w:tcPr>
            <w:tcW w:w="1559" w:type="dxa"/>
          </w:tcPr>
          <w:p w:rsidR="00402873" w:rsidRDefault="00402873" w:rsidP="00F83373">
            <w:pPr>
              <w:pStyle w:val="TableParagraph"/>
              <w:ind w:left="0"/>
              <w:jc w:val="center"/>
              <w:rPr>
                <w:spacing w:val="-2"/>
                <w:sz w:val="24"/>
                <w:szCs w:val="24"/>
                <w:lang w:val="vi-VN"/>
              </w:rPr>
            </w:pPr>
          </w:p>
          <w:p w:rsidR="00402873" w:rsidRDefault="00402873" w:rsidP="00F83373">
            <w:pPr>
              <w:pStyle w:val="TableParagraph"/>
              <w:ind w:left="0"/>
              <w:jc w:val="center"/>
              <w:rPr>
                <w:spacing w:val="-2"/>
                <w:sz w:val="24"/>
                <w:szCs w:val="24"/>
                <w:lang w:val="vi-VN"/>
              </w:rPr>
            </w:pPr>
          </w:p>
          <w:p w:rsidR="00402873" w:rsidRPr="00811FD1" w:rsidRDefault="00402873" w:rsidP="00F83373">
            <w:pPr>
              <w:pStyle w:val="TableParagraph"/>
              <w:ind w:left="0"/>
              <w:jc w:val="center"/>
              <w:rPr>
                <w:spacing w:val="-2"/>
                <w:sz w:val="14"/>
                <w:szCs w:val="24"/>
                <w:lang w:val="vi-VN"/>
              </w:rPr>
            </w:pPr>
          </w:p>
          <w:p w:rsidR="00F83373" w:rsidRPr="0048560E" w:rsidRDefault="00DD3E4C" w:rsidP="00F83373">
            <w:pPr>
              <w:pStyle w:val="TableParagraph"/>
              <w:ind w:left="0"/>
              <w:jc w:val="center"/>
              <w:rPr>
                <w:sz w:val="24"/>
                <w:szCs w:val="24"/>
                <w:lang w:val="vi-VN"/>
              </w:rPr>
            </w:pPr>
            <w:r>
              <w:rPr>
                <w:spacing w:val="-2"/>
                <w:sz w:val="24"/>
                <w:szCs w:val="24"/>
                <w:lang w:val="vi-VN"/>
              </w:rPr>
              <w:t>2</w:t>
            </w:r>
            <w:r w:rsidR="00F83373" w:rsidRPr="0048560E">
              <w:rPr>
                <w:spacing w:val="-2"/>
                <w:sz w:val="24"/>
                <w:szCs w:val="24"/>
                <w:lang w:val="vi-VN"/>
              </w:rPr>
              <w:t>0</w:t>
            </w:r>
            <w:r w:rsidR="00F83373"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 xml:space="preserve">Tôi cam kết chịu hoàn toàn trách nhiệm trước pháp luật nếu có hành vi sai trái và vi phạm các điều cấm của Luật Đấu giá tài sản số 01/2016/QH14 ngày 17/11/2016, được sửa đổi, bổ </w:t>
      </w:r>
      <w:bookmarkStart w:id="0" w:name="_GoBack"/>
      <w:bookmarkEnd w:id="0"/>
      <w:r>
        <w:rPr>
          <w:lang w:val="vi-VN"/>
        </w:rPr>
        <w:t>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2873"/>
    <w:rsid w:val="00403110"/>
    <w:rsid w:val="00450FC2"/>
    <w:rsid w:val="0048560E"/>
    <w:rsid w:val="004C06C1"/>
    <w:rsid w:val="004E0530"/>
    <w:rsid w:val="00657F3B"/>
    <w:rsid w:val="0071442C"/>
    <w:rsid w:val="00730F88"/>
    <w:rsid w:val="0074341E"/>
    <w:rsid w:val="007C493E"/>
    <w:rsid w:val="00811FD1"/>
    <w:rsid w:val="008915F3"/>
    <w:rsid w:val="008B557C"/>
    <w:rsid w:val="00942F87"/>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5260"/>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28</cp:revision>
  <cp:lastPrinted>2025-09-11T00:43:00Z</cp:lastPrinted>
  <dcterms:created xsi:type="dcterms:W3CDTF">2025-03-09T10:16:00Z</dcterms:created>
  <dcterms:modified xsi:type="dcterms:W3CDTF">2026-03-10T17:00:00Z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