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657F3B">
      <w:pPr>
        <w:spacing w:before="18"/>
        <w:rPr>
          <w:b/>
          <w:sz w:val="26"/>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Default="00657F3B">
      <w:pPr>
        <w:spacing w:before="8"/>
        <w:rPr>
          <w:b/>
          <w:sz w:val="28"/>
        </w:rPr>
      </w:pPr>
    </w:p>
    <w:p w:rsidR="00657F3B" w:rsidRPr="00403110" w:rsidRDefault="00403110">
      <w:pPr>
        <w:ind w:left="2"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CB655E">
      <w:pPr>
        <w:spacing w:before="40"/>
        <w:ind w:left="142"/>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D7C63">
        <w:rPr>
          <w:b/>
          <w:spacing w:val="24"/>
          <w:sz w:val="24"/>
          <w:lang w:val="vi-VN"/>
        </w:rPr>
        <w:t>Cơ quan Ủy ban MTTQ Việt Nam thành phố Đà Nẵng</w:t>
      </w:r>
    </w:p>
    <w:p w:rsidR="00657F3B" w:rsidRPr="00537AFB" w:rsidRDefault="00657F3B">
      <w:pPr>
        <w:spacing w:before="2" w:after="1"/>
        <w:rPr>
          <w:b/>
          <w:sz w:val="7"/>
          <w:lang w:val="vi-VN"/>
        </w:rPr>
      </w:pPr>
    </w:p>
    <w:tbl>
      <w:tblPr>
        <w:tblW w:w="962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7"/>
        <w:gridCol w:w="1275"/>
        <w:gridCol w:w="1276"/>
        <w:gridCol w:w="1418"/>
        <w:gridCol w:w="1417"/>
      </w:tblGrid>
      <w:tr w:rsidR="00CB655E" w:rsidTr="00CB655E">
        <w:trPr>
          <w:trHeight w:val="817"/>
        </w:trPr>
        <w:tc>
          <w:tcPr>
            <w:tcW w:w="4237" w:type="dxa"/>
          </w:tcPr>
          <w:p w:rsidR="00CB655E" w:rsidRDefault="00CB655E" w:rsidP="00CB655E">
            <w:pPr>
              <w:pStyle w:val="TableParagraph"/>
              <w:ind w:left="7"/>
              <w:jc w:val="center"/>
              <w:rPr>
                <w:b/>
                <w:sz w:val="24"/>
                <w:lang w:val="vi-VN"/>
              </w:rPr>
            </w:pPr>
            <w:r>
              <w:rPr>
                <w:b/>
                <w:sz w:val="24"/>
                <w:lang w:val="vi-VN"/>
              </w:rPr>
              <w:t xml:space="preserve"> </w:t>
            </w:r>
          </w:p>
          <w:p w:rsidR="00CB655E" w:rsidRDefault="00CB655E" w:rsidP="00CB655E">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5" w:type="dxa"/>
            <w:shd w:val="clear" w:color="auto" w:fill="auto"/>
          </w:tcPr>
          <w:p w:rsidR="00CB655E" w:rsidRPr="009236CD" w:rsidRDefault="00CB655E" w:rsidP="00CB655E">
            <w:pPr>
              <w:jc w:val="center"/>
              <w:rPr>
                <w:rFonts w:eastAsia="MS Mincho" w:cs="Courier New"/>
                <w:b/>
                <w:bCs/>
                <w:sz w:val="24"/>
                <w:lang w:val="vi-VN"/>
              </w:rPr>
            </w:pPr>
            <w:r w:rsidRPr="009236CD">
              <w:rPr>
                <w:rFonts w:eastAsia="MS Mincho" w:cs="Courier New"/>
                <w:b/>
                <w:bCs/>
                <w:sz w:val="24"/>
                <w:lang w:val="vi-VN"/>
              </w:rPr>
              <w:t>Giá khởi điểm</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276" w:type="dxa"/>
            <w:shd w:val="clear" w:color="auto" w:fill="auto"/>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Tiền đặt trước</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418" w:type="dxa"/>
          </w:tcPr>
          <w:p w:rsidR="00CB655E" w:rsidRDefault="00CB655E" w:rsidP="00CB655E">
            <w:pPr>
              <w:jc w:val="center"/>
              <w:rPr>
                <w:rFonts w:eastAsia="MS Mincho" w:cs="Courier New"/>
                <w:b/>
                <w:bCs/>
                <w:sz w:val="24"/>
                <w:lang w:val="vi-VN"/>
              </w:rPr>
            </w:pPr>
            <w:r>
              <w:rPr>
                <w:rFonts w:eastAsia="MS Mincho" w:cs="Courier New"/>
                <w:b/>
                <w:bCs/>
                <w:sz w:val="24"/>
                <w:lang w:val="vi-VN"/>
              </w:rPr>
              <w:t>Bước giá</w:t>
            </w:r>
          </w:p>
          <w:p w:rsidR="00DF62B3" w:rsidRPr="009236CD" w:rsidRDefault="00DF62B3" w:rsidP="00CB655E">
            <w:pPr>
              <w:jc w:val="center"/>
              <w:rPr>
                <w:rFonts w:eastAsia="MS Mincho" w:cs="Courier New"/>
                <w:b/>
                <w:bCs/>
                <w:sz w:val="24"/>
                <w:lang w:val="vi-VN"/>
              </w:rPr>
            </w:pPr>
            <w:r>
              <w:rPr>
                <w:rFonts w:eastAsia="MS Mincho" w:cs="Courier New"/>
                <w:b/>
                <w:bCs/>
                <w:sz w:val="24"/>
                <w:lang w:val="vi-VN"/>
              </w:rPr>
              <w:t>tối thiểu</w:t>
            </w:r>
          </w:p>
          <w:p w:rsidR="00CB655E" w:rsidRDefault="00CB655E" w:rsidP="00CB655E">
            <w:pPr>
              <w:jc w:val="center"/>
              <w:rPr>
                <w:rFonts w:eastAsia="MS Mincho" w:cs="Courier New"/>
                <w:b/>
                <w:bCs/>
                <w:sz w:val="24"/>
                <w:lang w:val="vi-VN"/>
              </w:rPr>
            </w:pPr>
            <w:r w:rsidRPr="009236CD">
              <w:rPr>
                <w:rFonts w:eastAsia="MS Mincho" w:cs="Courier New"/>
                <w:bCs/>
                <w:sz w:val="24"/>
                <w:lang w:val="vi-VN"/>
              </w:rPr>
              <w:t>(đồng)</w:t>
            </w:r>
          </w:p>
        </w:tc>
        <w:tc>
          <w:tcPr>
            <w:tcW w:w="1417" w:type="dxa"/>
          </w:tcPr>
          <w:p w:rsidR="00CB655E" w:rsidRDefault="00CB655E" w:rsidP="00CB655E">
            <w:pPr>
              <w:jc w:val="center"/>
              <w:rPr>
                <w:rFonts w:eastAsia="MS Mincho" w:cs="Courier New"/>
                <w:b/>
                <w:bCs/>
                <w:sz w:val="24"/>
                <w:lang w:val="vi-VN"/>
              </w:rPr>
            </w:pPr>
            <w:r>
              <w:rPr>
                <w:rFonts w:eastAsia="MS Mincho" w:cs="Courier New"/>
                <w:b/>
                <w:bCs/>
                <w:sz w:val="24"/>
                <w:lang w:val="vi-VN"/>
              </w:rPr>
              <w:t xml:space="preserve">Tiền mua </w:t>
            </w:r>
          </w:p>
          <w:p w:rsidR="00CB655E" w:rsidRDefault="00CB655E" w:rsidP="00CB655E">
            <w:pPr>
              <w:jc w:val="center"/>
              <w:rPr>
                <w:rFonts w:eastAsia="MS Mincho" w:cs="Courier New"/>
                <w:b/>
                <w:bCs/>
                <w:sz w:val="24"/>
                <w:lang w:val="vi-VN"/>
              </w:rPr>
            </w:pPr>
            <w:r>
              <w:rPr>
                <w:rFonts w:eastAsia="MS Mincho" w:cs="Courier New"/>
                <w:b/>
                <w:bCs/>
                <w:sz w:val="24"/>
                <w:lang w:val="vi-VN"/>
              </w:rPr>
              <w:t>hồ sơ</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r>
      <w:tr w:rsidR="0011317E" w:rsidTr="00870BBA">
        <w:trPr>
          <w:trHeight w:val="814"/>
        </w:trPr>
        <w:tc>
          <w:tcPr>
            <w:tcW w:w="4237" w:type="dxa"/>
          </w:tcPr>
          <w:p w:rsidR="0011317E" w:rsidRPr="00ED7C63" w:rsidRDefault="00ED7C63" w:rsidP="00DF62B3">
            <w:pPr>
              <w:pStyle w:val="TableParagraph"/>
              <w:jc w:val="both"/>
              <w:rPr>
                <w:sz w:val="26"/>
                <w:szCs w:val="26"/>
                <w:lang w:val="vi-VN"/>
              </w:rPr>
            </w:pPr>
            <w:r w:rsidRPr="00ED7C63">
              <w:rPr>
                <w:rFonts w:eastAsia="Calibri"/>
                <w:sz w:val="24"/>
                <w:szCs w:val="26"/>
                <w:lang w:val="vi-VN"/>
              </w:rPr>
              <w:t>Xe ô tô con nhãn hiệu Toyota Corolla (05 chỗ ngồi) biển kiểm soát 43A-001.49, năm sử dụng: 2013; nước sản xuất: Việt Nam; số khung: RL4BC42E0D5010330; số máy: 2ZR-X274088</w:t>
            </w:r>
          </w:p>
        </w:tc>
        <w:tc>
          <w:tcPr>
            <w:tcW w:w="1275" w:type="dxa"/>
            <w:shd w:val="clear" w:color="auto" w:fill="auto"/>
          </w:tcPr>
          <w:p w:rsidR="0011317E" w:rsidRDefault="0011317E" w:rsidP="0011317E">
            <w:pPr>
              <w:jc w:val="center"/>
              <w:rPr>
                <w:rFonts w:eastAsia="MS Mincho" w:cs="Courier New"/>
                <w:bCs/>
                <w:lang w:val="vi-VN"/>
              </w:rPr>
            </w:pPr>
          </w:p>
          <w:p w:rsidR="0011317E" w:rsidRPr="00ED7C63" w:rsidRDefault="0011317E" w:rsidP="0011317E">
            <w:pPr>
              <w:jc w:val="center"/>
              <w:rPr>
                <w:rFonts w:eastAsia="MS Mincho" w:cs="Courier New"/>
                <w:bCs/>
                <w:sz w:val="18"/>
                <w:lang w:val="vi-VN"/>
              </w:rPr>
            </w:pPr>
          </w:p>
          <w:p w:rsidR="0011317E" w:rsidRPr="0011317E" w:rsidRDefault="0011317E" w:rsidP="0011317E">
            <w:pPr>
              <w:jc w:val="center"/>
              <w:rPr>
                <w:rFonts w:eastAsia="MS Mincho" w:cs="Courier New"/>
                <w:bCs/>
                <w:sz w:val="6"/>
                <w:lang w:val="vi-VN"/>
              </w:rPr>
            </w:pPr>
          </w:p>
          <w:p w:rsidR="0011317E" w:rsidRPr="009236CD" w:rsidRDefault="0011317E" w:rsidP="00ED7C63">
            <w:pPr>
              <w:jc w:val="center"/>
              <w:rPr>
                <w:rFonts w:eastAsia="MS Mincho" w:cs="Courier New"/>
                <w:bCs/>
                <w:lang w:val="vi-VN"/>
              </w:rPr>
            </w:pPr>
            <w:r w:rsidRPr="009236CD">
              <w:rPr>
                <w:rFonts w:eastAsia="MS Mincho" w:cs="Courier New"/>
                <w:bCs/>
                <w:lang w:val="vi-VN"/>
              </w:rPr>
              <w:t>1</w:t>
            </w:r>
            <w:r w:rsidR="00ED7C63">
              <w:rPr>
                <w:rFonts w:eastAsia="MS Mincho" w:cs="Courier New"/>
                <w:bCs/>
                <w:lang w:val="vi-VN"/>
              </w:rPr>
              <w:t>6</w:t>
            </w:r>
            <w:r w:rsidR="00A05229">
              <w:rPr>
                <w:rFonts w:eastAsia="MS Mincho" w:cs="Courier New"/>
                <w:bCs/>
                <w:lang w:val="vi-VN"/>
              </w:rPr>
              <w:t>0</w:t>
            </w:r>
            <w:r w:rsidRPr="009236CD">
              <w:rPr>
                <w:rFonts w:eastAsia="MS Mincho" w:cs="Courier New"/>
                <w:bCs/>
                <w:lang w:val="vi-VN"/>
              </w:rPr>
              <w:t>.000.000</w:t>
            </w:r>
          </w:p>
        </w:tc>
        <w:tc>
          <w:tcPr>
            <w:tcW w:w="1276"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ED7C63" w:rsidP="00ED7C63">
            <w:pPr>
              <w:jc w:val="center"/>
              <w:rPr>
                <w:color w:val="000000"/>
                <w:lang w:val="vi-VN"/>
              </w:rPr>
            </w:pPr>
            <w:r>
              <w:rPr>
                <w:color w:val="000000"/>
                <w:lang w:val="vi-VN"/>
              </w:rPr>
              <w:t>3</w:t>
            </w:r>
            <w:r w:rsidR="0011317E" w:rsidRPr="002E308D">
              <w:rPr>
                <w:color w:val="000000"/>
                <w:lang w:val="vi-VN"/>
              </w:rPr>
              <w:t>2.000.000</w:t>
            </w:r>
          </w:p>
        </w:tc>
        <w:tc>
          <w:tcPr>
            <w:tcW w:w="1418"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ED7C63" w:rsidP="0011317E">
            <w:pPr>
              <w:jc w:val="center"/>
              <w:rPr>
                <w:color w:val="000000"/>
                <w:lang w:val="vi-VN"/>
              </w:rPr>
            </w:pPr>
            <w:r>
              <w:rPr>
                <w:color w:val="000000"/>
                <w:lang w:val="vi-VN"/>
              </w:rPr>
              <w:t>8</w:t>
            </w:r>
            <w:r w:rsidR="00A05229">
              <w:rPr>
                <w:color w:val="000000"/>
                <w:lang w:val="vi-VN"/>
              </w:rPr>
              <w:t>.0</w:t>
            </w:r>
            <w:r w:rsidR="0011317E" w:rsidRPr="002E308D">
              <w:rPr>
                <w:color w:val="000000"/>
                <w:lang w:val="vi-VN"/>
              </w:rPr>
              <w:t>00.000</w:t>
            </w:r>
          </w:p>
        </w:tc>
        <w:tc>
          <w:tcPr>
            <w:tcW w:w="1417" w:type="dxa"/>
            <w:tcBorders>
              <w:top w:val="nil"/>
              <w:left w:val="single" w:sz="8" w:space="0" w:color="auto"/>
              <w:bottom w:val="single" w:sz="8" w:space="0" w:color="auto"/>
              <w:right w:val="single" w:sz="8" w:space="0" w:color="auto"/>
            </w:tcBorders>
          </w:tcPr>
          <w:p w:rsidR="0011317E" w:rsidRDefault="0011317E" w:rsidP="0011317E">
            <w:pPr>
              <w:jc w:val="center"/>
              <w:rPr>
                <w:color w:val="000000"/>
                <w:lang w:val="vi-VN"/>
              </w:rPr>
            </w:pPr>
          </w:p>
          <w:p w:rsidR="00ED7C63" w:rsidRPr="00E01A1B" w:rsidRDefault="00ED7C63" w:rsidP="0011317E">
            <w:pPr>
              <w:jc w:val="center"/>
              <w:rPr>
                <w:color w:val="000000"/>
                <w:lang w:val="vi-VN"/>
              </w:rPr>
            </w:pPr>
            <w:bookmarkStart w:id="0" w:name="_GoBack"/>
            <w:bookmarkEnd w:id="0"/>
          </w:p>
          <w:p w:rsidR="0011317E" w:rsidRPr="0011317E" w:rsidRDefault="0011317E" w:rsidP="0011317E">
            <w:pPr>
              <w:jc w:val="center"/>
              <w:rPr>
                <w:color w:val="000000"/>
                <w:sz w:val="4"/>
                <w:lang w:val="vi-VN"/>
              </w:rPr>
            </w:pPr>
          </w:p>
          <w:p w:rsidR="0011317E" w:rsidRPr="002E308D" w:rsidRDefault="00A05229" w:rsidP="0011317E">
            <w:pPr>
              <w:jc w:val="center"/>
              <w:rPr>
                <w:color w:val="000000"/>
                <w:lang w:val="vi-VN"/>
              </w:rPr>
            </w:pPr>
            <w:r>
              <w:rPr>
                <w:color w:val="000000"/>
                <w:lang w:val="vi-VN"/>
              </w:rPr>
              <w:t>10</w:t>
            </w:r>
            <w:r w:rsidR="0011317E" w:rsidRPr="002E308D">
              <w:rPr>
                <w:color w:val="000000"/>
                <w:lang w:val="vi-VN"/>
              </w:rPr>
              <w:t>0.000</w:t>
            </w:r>
          </w:p>
        </w:tc>
      </w:tr>
    </w:tbl>
    <w:p w:rsidR="00657F3B" w:rsidRDefault="00403110" w:rsidP="00CB655E">
      <w:pPr>
        <w:pStyle w:val="ListParagraph"/>
        <w:numPr>
          <w:ilvl w:val="0"/>
          <w:numId w:val="1"/>
        </w:numPr>
        <w:tabs>
          <w:tab w:val="left" w:pos="543"/>
        </w:tabs>
        <w:spacing w:before="120"/>
        <w:ind w:left="545" w:hanging="403"/>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CB655E" w:rsidRPr="00CB655E" w:rsidRDefault="00CB655E" w:rsidP="00CB655E">
      <w:pPr>
        <w:spacing w:before="41"/>
        <w:ind w:firstLine="543"/>
        <w:rPr>
          <w:i/>
          <w:iCs/>
          <w:sz w:val="24"/>
          <w:szCs w:val="24"/>
        </w:rPr>
      </w:pPr>
      <w:r w:rsidRPr="00CB655E">
        <w:rPr>
          <w:i/>
          <w:iCs/>
          <w:sz w:val="24"/>
          <w:szCs w:val="24"/>
        </w:rPr>
        <w:t xml:space="preserve">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w:t>
      </w:r>
      <w:r w:rsidR="00ED7C63">
        <w:rPr>
          <w:i/>
          <w:iCs/>
          <w:sz w:val="24"/>
          <w:szCs w:val="24"/>
          <w:lang w:val="vi-VN"/>
        </w:rPr>
        <w:t xml:space="preserve">tình trạng </w:t>
      </w:r>
      <w:r w:rsidRPr="00CB655E">
        <w:rPr>
          <w:i/>
          <w:iCs/>
          <w:sz w:val="24"/>
          <w:szCs w:val="24"/>
        </w:rPr>
        <w:t>tài sản và tính pháp lý của hồ sơ tài sản đấu giá, không nhận lại tiền mua hồ sơ trong bất cứ trường hợp nào, kể cả việc tạm dừng cuộc đấu giá.</w:t>
      </w:r>
    </w:p>
    <w:p w:rsidR="00657F3B" w:rsidRDefault="00CB655E" w:rsidP="00CB655E">
      <w:pPr>
        <w:spacing w:before="41"/>
        <w:ind w:firstLine="543"/>
        <w:rPr>
          <w:i/>
          <w:sz w:val="24"/>
        </w:rPr>
      </w:pPr>
      <w:r w:rsidRPr="00CB655E">
        <w:rPr>
          <w:i/>
          <w:iCs/>
          <w:sz w:val="24"/>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CB655E" w:rsidRDefault="00403110" w:rsidP="00CB655E">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CB655E">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1317E"/>
    <w:rsid w:val="001A3710"/>
    <w:rsid w:val="00246C08"/>
    <w:rsid w:val="003224AA"/>
    <w:rsid w:val="003B7793"/>
    <w:rsid w:val="003C05EF"/>
    <w:rsid w:val="00403110"/>
    <w:rsid w:val="00537AFB"/>
    <w:rsid w:val="00657F3B"/>
    <w:rsid w:val="006D4FDF"/>
    <w:rsid w:val="0071442C"/>
    <w:rsid w:val="00801F6C"/>
    <w:rsid w:val="00942F87"/>
    <w:rsid w:val="00A05229"/>
    <w:rsid w:val="00B36C2B"/>
    <w:rsid w:val="00B536BE"/>
    <w:rsid w:val="00B6763C"/>
    <w:rsid w:val="00C05522"/>
    <w:rsid w:val="00CB655E"/>
    <w:rsid w:val="00D03A08"/>
    <w:rsid w:val="00D6330A"/>
    <w:rsid w:val="00D873F2"/>
    <w:rsid w:val="00DA5FA4"/>
    <w:rsid w:val="00DB05A3"/>
    <w:rsid w:val="00DF62B3"/>
    <w:rsid w:val="00E01A1B"/>
    <w:rsid w:val="00E45E05"/>
    <w:rsid w:val="00E63542"/>
    <w:rsid w:val="00ED7C63"/>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16</cp:revision>
  <dcterms:created xsi:type="dcterms:W3CDTF">2025-03-09T10:16:00Z</dcterms:created>
  <dcterms:modified xsi:type="dcterms:W3CDTF">2026-06-20T10:10:00Z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