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E576D3">
        <w:rPr>
          <w:b/>
          <w:spacing w:val="24"/>
          <w:sz w:val="24"/>
          <w:lang w:val="vi-VN"/>
        </w:rPr>
        <w:t xml:space="preserve">Chấp hành viên </w:t>
      </w:r>
      <w:r w:rsidR="00F73673" w:rsidRPr="00F73673">
        <w:rPr>
          <w:b/>
          <w:sz w:val="24"/>
          <w:lang w:val="vi-VN"/>
        </w:rPr>
        <w:t xml:space="preserve">Phòng thi </w:t>
      </w:r>
      <w:r w:rsidR="00F73673">
        <w:rPr>
          <w:b/>
          <w:sz w:val="24"/>
          <w:lang w:val="vi-VN"/>
        </w:rPr>
        <w:t xml:space="preserve">hành án dân sự </w:t>
      </w:r>
      <w:r w:rsidR="00E576D3">
        <w:rPr>
          <w:b/>
          <w:sz w:val="24"/>
          <w:lang w:val="vi-VN"/>
        </w:rPr>
        <w:t>k</w:t>
      </w:r>
      <w:r w:rsidR="00F73673">
        <w:rPr>
          <w:b/>
          <w:sz w:val="24"/>
          <w:lang w:val="vi-VN"/>
        </w:rPr>
        <w:t xml:space="preserve">hu </w:t>
      </w:r>
      <w:r w:rsidR="00E576D3">
        <w:rPr>
          <w:b/>
          <w:sz w:val="24"/>
          <w:lang w:val="vi-VN"/>
        </w:rPr>
        <w:t xml:space="preserve">vực </w:t>
      </w:r>
      <w:r w:rsidR="00402873">
        <w:rPr>
          <w:b/>
          <w:sz w:val="24"/>
          <w:lang w:val="vi-VN"/>
        </w:rPr>
        <w:t>6</w:t>
      </w:r>
      <w:r w:rsidR="00E576D3">
        <w:rPr>
          <w:b/>
          <w:sz w:val="24"/>
          <w:lang w:val="vi-VN"/>
        </w:rPr>
        <w:t xml:space="preserve"> </w:t>
      </w:r>
      <w:r w:rsidR="00402873">
        <w:rPr>
          <w:b/>
          <w:sz w:val="24"/>
          <w:lang w:val="vi-VN"/>
        </w:rPr>
        <w:t>-</w:t>
      </w:r>
      <w:r w:rsidR="00F73673" w:rsidRPr="00F73673">
        <w:rPr>
          <w:b/>
          <w:sz w:val="24"/>
          <w:lang w:val="vi-VN"/>
        </w:rPr>
        <w:t xml:space="preserve"> Quảng Ngãi</w:t>
      </w:r>
    </w:p>
    <w:p w:rsidR="00657F3B" w:rsidRDefault="00657F3B">
      <w:pPr>
        <w:spacing w:before="2" w:after="1"/>
        <w:rPr>
          <w:b/>
          <w:sz w:val="7"/>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0"/>
        <w:gridCol w:w="1276"/>
        <w:gridCol w:w="1276"/>
        <w:gridCol w:w="1134"/>
        <w:gridCol w:w="1559"/>
      </w:tblGrid>
      <w:tr w:rsidR="00F83373" w:rsidTr="00811FD1">
        <w:trPr>
          <w:trHeight w:val="740"/>
        </w:trPr>
        <w:tc>
          <w:tcPr>
            <w:tcW w:w="4520" w:type="dxa"/>
          </w:tcPr>
          <w:p w:rsidR="00F83373" w:rsidRDefault="00F83373" w:rsidP="00402873">
            <w:pPr>
              <w:pStyle w:val="TableParagraph"/>
              <w:ind w:left="0"/>
              <w:jc w:val="center"/>
              <w:rPr>
                <w:b/>
                <w:sz w:val="24"/>
                <w:lang w:val="vi-VN"/>
              </w:rPr>
            </w:pPr>
            <w:r>
              <w:rPr>
                <w:b/>
                <w:sz w:val="24"/>
                <w:lang w:val="vi-VN"/>
              </w:rPr>
              <w:t xml:space="preserve"> </w:t>
            </w:r>
          </w:p>
          <w:p w:rsidR="00F83373" w:rsidRDefault="00F83373" w:rsidP="00402873">
            <w:pPr>
              <w:pStyle w:val="TableParagraph"/>
              <w:ind w:left="0"/>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276" w:type="dxa"/>
          </w:tcPr>
          <w:p w:rsidR="00F83373" w:rsidRDefault="00F83373" w:rsidP="00402873">
            <w:pPr>
              <w:pStyle w:val="TableParagraph"/>
              <w:ind w:left="0"/>
              <w:jc w:val="center"/>
              <w:rPr>
                <w:b/>
                <w:sz w:val="24"/>
              </w:rPr>
            </w:pPr>
            <w:r>
              <w:rPr>
                <w:b/>
                <w:sz w:val="24"/>
              </w:rPr>
              <w:t>Giá khởi điểm</w:t>
            </w:r>
          </w:p>
          <w:p w:rsidR="00F83373" w:rsidRPr="00D6330A" w:rsidRDefault="00F83373" w:rsidP="00402873">
            <w:pPr>
              <w:pStyle w:val="TableParagraph"/>
              <w:ind w:left="0"/>
              <w:jc w:val="center"/>
              <w:rPr>
                <w:b/>
                <w:sz w:val="24"/>
                <w:lang w:val="vi-VN"/>
              </w:rPr>
            </w:pPr>
            <w:r>
              <w:rPr>
                <w:b/>
                <w:sz w:val="24"/>
              </w:rPr>
              <w:t xml:space="preserve"> </w:t>
            </w:r>
            <w:r w:rsidRPr="00D6330A">
              <w:rPr>
                <w:spacing w:val="-6"/>
                <w:sz w:val="24"/>
              </w:rPr>
              <w:t>(đồng</w:t>
            </w:r>
            <w:r w:rsidRPr="00D6330A">
              <w:rPr>
                <w:spacing w:val="-6"/>
                <w:sz w:val="24"/>
                <w:lang w:val="vi-VN"/>
              </w:rPr>
              <w:t>)</w:t>
            </w:r>
          </w:p>
        </w:tc>
        <w:tc>
          <w:tcPr>
            <w:tcW w:w="1276" w:type="dxa"/>
          </w:tcPr>
          <w:p w:rsidR="00F83373" w:rsidRPr="00D6330A" w:rsidRDefault="00F83373" w:rsidP="00402873">
            <w:pPr>
              <w:pStyle w:val="TableParagraph"/>
              <w:ind w:left="0"/>
              <w:jc w:val="center"/>
              <w:rPr>
                <w:b/>
                <w:sz w:val="24"/>
              </w:rPr>
            </w:pPr>
            <w:r w:rsidRPr="00D6330A">
              <w:rPr>
                <w:b/>
                <w:spacing w:val="-6"/>
                <w:sz w:val="24"/>
              </w:rPr>
              <w:t>Tiền</w:t>
            </w:r>
            <w:r w:rsidRPr="00D6330A">
              <w:rPr>
                <w:b/>
                <w:spacing w:val="-12"/>
                <w:sz w:val="24"/>
              </w:rPr>
              <w:t xml:space="preserve"> </w:t>
            </w:r>
            <w:r w:rsidRPr="00D6330A">
              <w:rPr>
                <w:b/>
                <w:spacing w:val="-6"/>
                <w:sz w:val="24"/>
              </w:rPr>
              <w:t xml:space="preserve">đặt </w:t>
            </w:r>
            <w:r w:rsidRPr="00D6330A">
              <w:rPr>
                <w:b/>
                <w:spacing w:val="-2"/>
                <w:sz w:val="24"/>
              </w:rPr>
              <w:t>trước</w:t>
            </w:r>
          </w:p>
          <w:p w:rsidR="00F83373" w:rsidRPr="00D6330A" w:rsidRDefault="00F83373" w:rsidP="00402873">
            <w:pPr>
              <w:pStyle w:val="TableParagraph"/>
              <w:ind w:left="0"/>
              <w:jc w:val="center"/>
              <w:rPr>
                <w:sz w:val="24"/>
              </w:rPr>
            </w:pPr>
            <w:r w:rsidRPr="00D6330A">
              <w:rPr>
                <w:sz w:val="24"/>
              </w:rPr>
              <w:t>(</w:t>
            </w:r>
            <w:r w:rsidRPr="00D6330A">
              <w:rPr>
                <w:spacing w:val="-2"/>
                <w:sz w:val="24"/>
              </w:rPr>
              <w:t>đồng</w:t>
            </w:r>
            <w:r>
              <w:rPr>
                <w:spacing w:val="-2"/>
                <w:sz w:val="24"/>
                <w:lang w:val="vi-VN"/>
              </w:rPr>
              <w:t>/1 hồ sơ</w:t>
            </w:r>
            <w:r w:rsidRPr="00D6330A">
              <w:rPr>
                <w:spacing w:val="-2"/>
                <w:sz w:val="24"/>
              </w:rPr>
              <w:t>)</w:t>
            </w:r>
          </w:p>
        </w:tc>
        <w:tc>
          <w:tcPr>
            <w:tcW w:w="1134" w:type="dxa"/>
          </w:tcPr>
          <w:p w:rsidR="00F83373" w:rsidRDefault="00F83373" w:rsidP="00402873">
            <w:pPr>
              <w:pStyle w:val="TableParagraph"/>
              <w:ind w:left="0"/>
              <w:jc w:val="center"/>
              <w:rPr>
                <w:b/>
                <w:spacing w:val="-6"/>
                <w:sz w:val="24"/>
                <w:lang w:val="vi-VN"/>
              </w:rPr>
            </w:pPr>
            <w:r>
              <w:rPr>
                <w:b/>
                <w:spacing w:val="-6"/>
                <w:sz w:val="24"/>
                <w:lang w:val="vi-VN"/>
              </w:rPr>
              <w:t>Bước giá</w:t>
            </w:r>
          </w:p>
          <w:p w:rsidR="00402873" w:rsidRPr="00F83373" w:rsidRDefault="00402873" w:rsidP="00402873">
            <w:pPr>
              <w:pStyle w:val="TableParagraph"/>
              <w:ind w:left="0"/>
              <w:jc w:val="center"/>
              <w:rPr>
                <w:b/>
                <w:sz w:val="24"/>
                <w:lang w:val="vi-VN"/>
              </w:rPr>
            </w:pPr>
            <w:r>
              <w:rPr>
                <w:b/>
                <w:spacing w:val="-6"/>
                <w:sz w:val="24"/>
                <w:lang w:val="vi-VN"/>
              </w:rPr>
              <w:t>tối thiểu</w:t>
            </w:r>
          </w:p>
          <w:p w:rsidR="00F83373" w:rsidRPr="00D6330A" w:rsidRDefault="00F83373" w:rsidP="00402873">
            <w:pPr>
              <w:pStyle w:val="TableParagraph"/>
              <w:ind w:left="0"/>
              <w:jc w:val="center"/>
              <w:rPr>
                <w:sz w:val="24"/>
              </w:rPr>
            </w:pPr>
            <w:r w:rsidRPr="00D6330A">
              <w:rPr>
                <w:sz w:val="24"/>
              </w:rPr>
              <w:t>(</w:t>
            </w:r>
            <w:r w:rsidRPr="00D6330A">
              <w:rPr>
                <w:spacing w:val="-2"/>
                <w:sz w:val="24"/>
              </w:rPr>
              <w:t>đồng)</w:t>
            </w:r>
          </w:p>
        </w:tc>
        <w:tc>
          <w:tcPr>
            <w:tcW w:w="1559" w:type="dxa"/>
          </w:tcPr>
          <w:p w:rsidR="00402873" w:rsidRDefault="00F83373" w:rsidP="00402873">
            <w:pPr>
              <w:pStyle w:val="TableParagraph"/>
              <w:ind w:left="0"/>
              <w:jc w:val="center"/>
              <w:rPr>
                <w:b/>
                <w:sz w:val="24"/>
              </w:rPr>
            </w:pPr>
            <w:r w:rsidRPr="00D6330A">
              <w:rPr>
                <w:b/>
                <w:spacing w:val="-6"/>
                <w:sz w:val="24"/>
              </w:rPr>
              <w:t>Tiền</w:t>
            </w:r>
            <w:r w:rsidRPr="00D6330A">
              <w:rPr>
                <w:b/>
                <w:spacing w:val="-9"/>
                <w:sz w:val="24"/>
              </w:rPr>
              <w:t xml:space="preserve"> </w:t>
            </w:r>
            <w:r w:rsidRPr="00D6330A">
              <w:rPr>
                <w:b/>
                <w:spacing w:val="-6"/>
                <w:sz w:val="24"/>
              </w:rPr>
              <w:t>mua</w:t>
            </w:r>
            <w:r w:rsidRPr="00D6330A">
              <w:rPr>
                <w:b/>
                <w:spacing w:val="-9"/>
                <w:sz w:val="24"/>
              </w:rPr>
              <w:t xml:space="preserve"> </w:t>
            </w:r>
            <w:r w:rsidRPr="00D6330A">
              <w:rPr>
                <w:b/>
                <w:spacing w:val="-6"/>
                <w:sz w:val="24"/>
              </w:rPr>
              <w:t>hồ sơ</w:t>
            </w:r>
            <w:r w:rsidRPr="00D6330A">
              <w:rPr>
                <w:b/>
                <w:spacing w:val="-9"/>
                <w:sz w:val="24"/>
              </w:rPr>
              <w:t xml:space="preserve"> </w:t>
            </w:r>
            <w:r w:rsidRPr="00D6330A">
              <w:rPr>
                <w:b/>
                <w:spacing w:val="-6"/>
                <w:sz w:val="24"/>
              </w:rPr>
              <w:t>mời</w:t>
            </w:r>
            <w:r w:rsidRPr="00D6330A">
              <w:rPr>
                <w:b/>
                <w:spacing w:val="-9"/>
                <w:sz w:val="24"/>
              </w:rPr>
              <w:t xml:space="preserve"> </w:t>
            </w:r>
            <w:r w:rsidRPr="00D6330A">
              <w:rPr>
                <w:b/>
                <w:spacing w:val="-6"/>
                <w:sz w:val="24"/>
              </w:rPr>
              <w:t xml:space="preserve">tham </w:t>
            </w:r>
            <w:r w:rsidRPr="00D6330A">
              <w:rPr>
                <w:b/>
                <w:sz w:val="24"/>
              </w:rPr>
              <w:t xml:space="preserve">gia </w:t>
            </w:r>
          </w:p>
          <w:p w:rsidR="00F83373" w:rsidRPr="00D6330A" w:rsidRDefault="00F83373" w:rsidP="00402873">
            <w:pPr>
              <w:pStyle w:val="TableParagraph"/>
              <w:ind w:left="0"/>
              <w:jc w:val="center"/>
              <w:rPr>
                <w:b/>
                <w:sz w:val="24"/>
              </w:rPr>
            </w:pPr>
            <w:r w:rsidRPr="00D6330A">
              <w:rPr>
                <w:b/>
                <w:sz w:val="24"/>
              </w:rPr>
              <w:t>đấu giá</w:t>
            </w:r>
          </w:p>
          <w:p w:rsidR="00F83373" w:rsidRPr="00D6330A" w:rsidRDefault="00F83373" w:rsidP="00402873">
            <w:pPr>
              <w:pStyle w:val="TableParagraph"/>
              <w:ind w:left="0"/>
              <w:jc w:val="center"/>
              <w:rPr>
                <w:sz w:val="24"/>
              </w:rPr>
            </w:pPr>
            <w:r w:rsidRPr="00D6330A">
              <w:rPr>
                <w:spacing w:val="-4"/>
                <w:sz w:val="24"/>
              </w:rPr>
              <w:t>(đồng</w:t>
            </w:r>
            <w:r>
              <w:rPr>
                <w:spacing w:val="-4"/>
                <w:sz w:val="24"/>
                <w:lang w:val="vi-VN"/>
              </w:rPr>
              <w:t>/1 hồ sơ</w:t>
            </w:r>
            <w:r w:rsidRPr="00D6330A">
              <w:rPr>
                <w:spacing w:val="-9"/>
                <w:sz w:val="24"/>
              </w:rPr>
              <w:t xml:space="preserve"> </w:t>
            </w:r>
            <w:r w:rsidRPr="00D6330A">
              <w:rPr>
                <w:spacing w:val="-10"/>
                <w:sz w:val="24"/>
              </w:rPr>
              <w:t>)</w:t>
            </w:r>
          </w:p>
        </w:tc>
      </w:tr>
      <w:tr w:rsidR="00F83373" w:rsidTr="00811FD1">
        <w:trPr>
          <w:trHeight w:val="268"/>
        </w:trPr>
        <w:tc>
          <w:tcPr>
            <w:tcW w:w="4520" w:type="dxa"/>
          </w:tcPr>
          <w:p w:rsidR="00F83373" w:rsidRPr="0048560E" w:rsidRDefault="00483940" w:rsidP="00483940">
            <w:pPr>
              <w:pStyle w:val="TableParagraph"/>
              <w:ind w:left="0"/>
              <w:jc w:val="both"/>
              <w:rPr>
                <w:sz w:val="24"/>
                <w:szCs w:val="24"/>
                <w:lang w:val="vi-VN"/>
              </w:rPr>
            </w:pPr>
            <w:r w:rsidRPr="00483940">
              <w:rPr>
                <w:rFonts w:eastAsia="SimSun"/>
                <w:sz w:val="24"/>
                <w:szCs w:val="24"/>
                <w:lang w:val="vi-VN"/>
              </w:rPr>
              <w:t xml:space="preserve">Quyền sử dụng đất và tài sản gắn liền với đất của thửa đất số: 1399; Tờ bản đồ số: 23 (nay là tờ bản đồ số 83, xã Nguyễn Nghiêm); </w:t>
            </w:r>
            <w:r>
              <w:rPr>
                <w:rFonts w:eastAsia="SimSun"/>
                <w:sz w:val="24"/>
                <w:szCs w:val="24"/>
                <w:lang w:val="vi-VN"/>
              </w:rPr>
              <w:t>tại</w:t>
            </w:r>
            <w:r w:rsidRPr="00483940">
              <w:rPr>
                <w:rFonts w:eastAsia="SimSun"/>
                <w:sz w:val="24"/>
                <w:szCs w:val="24"/>
                <w:lang w:val="vi-VN"/>
              </w:rPr>
              <w:t xml:space="preserve"> thôn Hiệp An, xã Nguyễn Nghiêm, tỉnh Quảng Ngãi</w:t>
            </w:r>
            <w:r w:rsidR="00402873" w:rsidRPr="00402873">
              <w:rPr>
                <w:rFonts w:eastAsia="SimSun"/>
                <w:sz w:val="24"/>
                <w:szCs w:val="24"/>
                <w:lang w:val="vi-VN"/>
              </w:rPr>
              <w:t>.</w:t>
            </w:r>
          </w:p>
        </w:tc>
        <w:tc>
          <w:tcPr>
            <w:tcW w:w="1276" w:type="dxa"/>
          </w:tcPr>
          <w:p w:rsidR="00402873" w:rsidRPr="00483940" w:rsidRDefault="00402873" w:rsidP="00C02BD7">
            <w:pPr>
              <w:pStyle w:val="TableParagraph"/>
              <w:ind w:left="0"/>
              <w:jc w:val="center"/>
              <w:rPr>
                <w:color w:val="000000"/>
                <w:sz w:val="24"/>
                <w:szCs w:val="24"/>
                <w:lang w:val="vi-VN"/>
              </w:rPr>
            </w:pPr>
          </w:p>
          <w:p w:rsidR="00F83373" w:rsidRPr="00483940" w:rsidRDefault="00353E90" w:rsidP="00C02BD7">
            <w:pPr>
              <w:pStyle w:val="TableParagraph"/>
              <w:ind w:left="0"/>
              <w:jc w:val="center"/>
              <w:rPr>
                <w:sz w:val="24"/>
                <w:szCs w:val="24"/>
              </w:rPr>
            </w:pPr>
            <w:r w:rsidRPr="00353E90">
              <w:rPr>
                <w:color w:val="000000"/>
                <w:sz w:val="24"/>
                <w:szCs w:val="24"/>
                <w:lang w:val="vi-VN"/>
              </w:rPr>
              <w:t>792.971.783</w:t>
            </w:r>
          </w:p>
        </w:tc>
        <w:tc>
          <w:tcPr>
            <w:tcW w:w="1276" w:type="dxa"/>
          </w:tcPr>
          <w:p w:rsidR="00402873" w:rsidRPr="00483940" w:rsidRDefault="00402873" w:rsidP="00F83373">
            <w:pPr>
              <w:pStyle w:val="TableParagraph"/>
              <w:ind w:left="0"/>
              <w:jc w:val="center"/>
              <w:rPr>
                <w:sz w:val="24"/>
                <w:szCs w:val="24"/>
                <w:lang w:val="vi-VN"/>
              </w:rPr>
            </w:pPr>
          </w:p>
          <w:p w:rsidR="00F83373" w:rsidRPr="00483940" w:rsidRDefault="00353E90" w:rsidP="00F83373">
            <w:pPr>
              <w:pStyle w:val="TableParagraph"/>
              <w:ind w:left="0"/>
              <w:jc w:val="center"/>
              <w:rPr>
                <w:sz w:val="24"/>
                <w:szCs w:val="24"/>
                <w:lang w:val="vi-VN"/>
              </w:rPr>
            </w:pPr>
            <w:r w:rsidRPr="00353E90">
              <w:rPr>
                <w:sz w:val="24"/>
                <w:szCs w:val="24"/>
                <w:lang w:val="vi-VN"/>
              </w:rPr>
              <w:t>158.594.000</w:t>
            </w:r>
            <w:bookmarkStart w:id="0" w:name="_GoBack"/>
            <w:bookmarkEnd w:id="0"/>
          </w:p>
        </w:tc>
        <w:tc>
          <w:tcPr>
            <w:tcW w:w="1134" w:type="dxa"/>
          </w:tcPr>
          <w:p w:rsidR="00402873" w:rsidRPr="00483940" w:rsidRDefault="00402873" w:rsidP="00F83373">
            <w:pPr>
              <w:pStyle w:val="TableParagraph"/>
              <w:ind w:left="0"/>
              <w:jc w:val="center"/>
              <w:rPr>
                <w:sz w:val="24"/>
                <w:szCs w:val="24"/>
                <w:lang w:val="vi-VN"/>
              </w:rPr>
            </w:pPr>
          </w:p>
          <w:p w:rsidR="00F83373" w:rsidRPr="00483940" w:rsidRDefault="00483940" w:rsidP="00402873">
            <w:pPr>
              <w:pStyle w:val="TableParagraph"/>
              <w:ind w:left="0"/>
              <w:jc w:val="center"/>
              <w:rPr>
                <w:sz w:val="24"/>
                <w:szCs w:val="24"/>
                <w:lang w:val="vi-VN"/>
              </w:rPr>
            </w:pPr>
            <w:r w:rsidRPr="00483940">
              <w:rPr>
                <w:sz w:val="24"/>
                <w:szCs w:val="24"/>
                <w:lang w:val="vi-VN"/>
              </w:rPr>
              <w:t>10.0</w:t>
            </w:r>
            <w:r w:rsidR="00F83373" w:rsidRPr="00483940">
              <w:rPr>
                <w:sz w:val="24"/>
                <w:szCs w:val="24"/>
                <w:lang w:val="vi-VN"/>
              </w:rPr>
              <w:t>00.000</w:t>
            </w:r>
          </w:p>
        </w:tc>
        <w:tc>
          <w:tcPr>
            <w:tcW w:w="1559" w:type="dxa"/>
          </w:tcPr>
          <w:p w:rsidR="00402873" w:rsidRPr="00483940" w:rsidRDefault="00402873" w:rsidP="00F83373">
            <w:pPr>
              <w:pStyle w:val="TableParagraph"/>
              <w:ind w:left="0"/>
              <w:jc w:val="center"/>
              <w:rPr>
                <w:spacing w:val="-2"/>
                <w:sz w:val="24"/>
                <w:szCs w:val="24"/>
                <w:lang w:val="vi-VN"/>
              </w:rPr>
            </w:pPr>
          </w:p>
          <w:p w:rsidR="00F83373" w:rsidRPr="00483940" w:rsidRDefault="00DD3E4C" w:rsidP="00F83373">
            <w:pPr>
              <w:pStyle w:val="TableParagraph"/>
              <w:ind w:left="0"/>
              <w:jc w:val="center"/>
              <w:rPr>
                <w:sz w:val="24"/>
                <w:szCs w:val="24"/>
                <w:lang w:val="vi-VN"/>
              </w:rPr>
            </w:pPr>
            <w:r w:rsidRPr="00483940">
              <w:rPr>
                <w:spacing w:val="-2"/>
                <w:sz w:val="24"/>
                <w:szCs w:val="24"/>
                <w:lang w:val="vi-VN"/>
              </w:rPr>
              <w:t>2</w:t>
            </w:r>
            <w:r w:rsidR="00F83373" w:rsidRPr="00483940">
              <w:rPr>
                <w:spacing w:val="-2"/>
                <w:sz w:val="24"/>
                <w:szCs w:val="24"/>
                <w:lang w:val="vi-VN"/>
              </w:rPr>
              <w:t>0</w:t>
            </w:r>
            <w:r w:rsidR="00F83373" w:rsidRPr="00483940">
              <w:rPr>
                <w:spacing w:val="-2"/>
                <w:sz w:val="24"/>
                <w:szCs w:val="24"/>
              </w:rPr>
              <w:t>0.000</w:t>
            </w:r>
          </w:p>
        </w:tc>
      </w:tr>
    </w:tbl>
    <w:p w:rsidR="00657F3B" w:rsidRDefault="00403110" w:rsidP="00DE55CD">
      <w:pPr>
        <w:pStyle w:val="ListParagraph"/>
        <w:numPr>
          <w:ilvl w:val="0"/>
          <w:numId w:val="1"/>
        </w:numPr>
        <w:tabs>
          <w:tab w:val="left" w:pos="543"/>
        </w:tabs>
        <w:spacing w:before="20"/>
        <w:ind w:left="543" w:hanging="40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657F3B" w:rsidRDefault="00403110" w:rsidP="00DE55CD">
      <w:pPr>
        <w:pStyle w:val="BodyText"/>
        <w:spacing w:before="20"/>
        <w:ind w:left="142" w:right="578" w:firstLine="403"/>
        <w:jc w:val="both"/>
      </w:pPr>
      <w:r>
        <w:t>Đã tìm hiểu kỹ các thông tin về tính pháp lý, nguồn gốc tài sản, Đã đọc kỹ Quy chế và thực hiện đúng các quy định tại Quy chế cuộc</w:t>
      </w:r>
      <w:r>
        <w:rPr>
          <w:spacing w:val="15"/>
        </w:rPr>
        <w:t xml:space="preserve"> </w:t>
      </w:r>
      <w:r>
        <w:t>đấu giá.</w:t>
      </w:r>
      <w:r>
        <w:rPr>
          <w:spacing w:val="16"/>
        </w:rPr>
        <w:t xml:space="preserve"> </w:t>
      </w:r>
      <w:r>
        <w:t>Không</w:t>
      </w:r>
      <w:r>
        <w:rPr>
          <w:spacing w:val="16"/>
        </w:rPr>
        <w:t xml:space="preserve"> </w:t>
      </w:r>
      <w:r>
        <w:t>có bất</w:t>
      </w:r>
      <w:r>
        <w:rPr>
          <w:spacing w:val="17"/>
        </w:rPr>
        <w:t xml:space="preserve"> </w:t>
      </w:r>
      <w:r>
        <w:t>kỳ</w:t>
      </w:r>
      <w:r>
        <w:rPr>
          <w:spacing w:val="15"/>
        </w:rPr>
        <w:t xml:space="preserve"> </w:t>
      </w:r>
      <w:r>
        <w:t>khiếu</w:t>
      </w:r>
      <w:r>
        <w:rPr>
          <w:spacing w:val="16"/>
        </w:rPr>
        <w:t xml:space="preserve"> </w:t>
      </w:r>
      <w:r>
        <w:t>nại,</w:t>
      </w:r>
      <w:r>
        <w:rPr>
          <w:spacing w:val="16"/>
        </w:rPr>
        <w:t xml:space="preserve"> </w:t>
      </w:r>
      <w:r>
        <w:t>khiếu</w:t>
      </w:r>
      <w:r>
        <w:rPr>
          <w:spacing w:val="16"/>
        </w:rPr>
        <w:t xml:space="preserve"> </w:t>
      </w:r>
      <w:r>
        <w:t>kiện</w:t>
      </w:r>
      <w:r>
        <w:rPr>
          <w:spacing w:val="16"/>
        </w:rPr>
        <w:t xml:space="preserve"> </w:t>
      </w:r>
      <w:r>
        <w:t>nào</w:t>
      </w:r>
      <w:r>
        <w:rPr>
          <w:spacing w:val="16"/>
        </w:rPr>
        <w:t xml:space="preserve"> </w:t>
      </w:r>
      <w:r>
        <w:t>về</w:t>
      </w:r>
      <w:r>
        <w:rPr>
          <w:spacing w:val="15"/>
        </w:rPr>
        <w:t xml:space="preserve"> </w:t>
      </w:r>
      <w:r>
        <w:t>sau liên</w:t>
      </w:r>
      <w:r>
        <w:rPr>
          <w:spacing w:val="16"/>
        </w:rPr>
        <w:t xml:space="preserve"> </w:t>
      </w:r>
      <w:r>
        <w:t>quan đến</w:t>
      </w:r>
      <w:r>
        <w:rPr>
          <w:spacing w:val="16"/>
        </w:rPr>
        <w:t xml:space="preserve"> </w:t>
      </w:r>
      <w:r>
        <w:t>thủ tục, trình tự</w:t>
      </w:r>
      <w:r>
        <w:rPr>
          <w:spacing w:val="24"/>
        </w:rPr>
        <w:t xml:space="preserve"> </w:t>
      </w:r>
      <w:r>
        <w:t>đấu</w:t>
      </w:r>
      <w:r>
        <w:rPr>
          <w:spacing w:val="26"/>
        </w:rPr>
        <w:t xml:space="preserve"> </w:t>
      </w:r>
      <w:r>
        <w:t>giá,</w:t>
      </w:r>
      <w:r>
        <w:rPr>
          <w:spacing w:val="26"/>
        </w:rPr>
        <w:t xml:space="preserve"> </w:t>
      </w:r>
      <w:r>
        <w:t>tài</w:t>
      </w:r>
      <w:r>
        <w:rPr>
          <w:spacing w:val="24"/>
        </w:rPr>
        <w:t xml:space="preserve"> </w:t>
      </w:r>
      <w:r>
        <w:t>sản</w:t>
      </w:r>
      <w:r>
        <w:rPr>
          <w:spacing w:val="26"/>
        </w:rPr>
        <w:t xml:space="preserve"> </w:t>
      </w:r>
      <w:r>
        <w:t>và tính</w:t>
      </w:r>
      <w:r>
        <w:rPr>
          <w:spacing w:val="26"/>
        </w:rPr>
        <w:t xml:space="preserve"> </w:t>
      </w:r>
      <w:r>
        <w:t>pháp lý</w:t>
      </w:r>
      <w:r>
        <w:rPr>
          <w:spacing w:val="25"/>
        </w:rPr>
        <w:t xml:space="preserve"> </w:t>
      </w:r>
      <w:r>
        <w:t>của</w:t>
      </w:r>
      <w:r>
        <w:rPr>
          <w:spacing w:val="26"/>
        </w:rPr>
        <w:t xml:space="preserve"> </w:t>
      </w:r>
      <w:r>
        <w:t>hồ</w:t>
      </w:r>
      <w:r>
        <w:rPr>
          <w:spacing w:val="26"/>
        </w:rPr>
        <w:t xml:space="preserve"> </w:t>
      </w:r>
      <w:r>
        <w:t>sơ tài</w:t>
      </w:r>
      <w:r>
        <w:rPr>
          <w:spacing w:val="24"/>
        </w:rPr>
        <w:t xml:space="preserve"> </w:t>
      </w:r>
      <w:r>
        <w:t>sản</w:t>
      </w:r>
      <w:r>
        <w:rPr>
          <w:spacing w:val="26"/>
        </w:rPr>
        <w:t xml:space="preserve"> </w:t>
      </w:r>
      <w:r>
        <w:t>đấu giá</w:t>
      </w:r>
      <w:r w:rsidR="00C171E6">
        <w:rPr>
          <w:lang w:val="vi-VN"/>
        </w:rPr>
        <w:t>, không nhận lại tiền mua hồ sơ trong bất cứ trường hợp nào, kể cả việc tạm dừng cuộc đấu giá</w:t>
      </w:r>
      <w:r>
        <w:t>.</w:t>
      </w:r>
    </w:p>
    <w:p w:rsidR="00E576D3" w:rsidRPr="002E1997" w:rsidRDefault="00E576D3" w:rsidP="00DE55CD">
      <w:pPr>
        <w:pStyle w:val="BodyText"/>
        <w:spacing w:before="20"/>
        <w:ind w:left="142" w:right="578" w:firstLine="403"/>
        <w:jc w:val="both"/>
        <w:rPr>
          <w:lang w:val="vi-VN"/>
        </w:rPr>
      </w:pPr>
      <w:r>
        <w:rPr>
          <w:lang w:val="vi-VN"/>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FD1E49" w:rsidRDefault="00403110">
      <w:pPr>
        <w:tabs>
          <w:tab w:val="left" w:pos="4892"/>
          <w:tab w:val="left" w:pos="6026"/>
        </w:tabs>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FD1E49">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4"/>
          <w:sz w:val="25"/>
        </w:rPr>
        <w:t>)</w:t>
      </w:r>
    </w:p>
    <w:sectPr w:rsidR="00657F3B" w:rsidSect="00C171E6">
      <w:type w:val="continuous"/>
      <w:pgSz w:w="11910" w:h="16850"/>
      <w:pgMar w:top="1077" w:right="567"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3224AA"/>
    <w:rsid w:val="00353E90"/>
    <w:rsid w:val="003B7793"/>
    <w:rsid w:val="003C05EF"/>
    <w:rsid w:val="00402873"/>
    <w:rsid w:val="00403110"/>
    <w:rsid w:val="0042210A"/>
    <w:rsid w:val="00450FC2"/>
    <w:rsid w:val="00483940"/>
    <w:rsid w:val="0048560E"/>
    <w:rsid w:val="004C06C1"/>
    <w:rsid w:val="004E0530"/>
    <w:rsid w:val="00657F3B"/>
    <w:rsid w:val="0071442C"/>
    <w:rsid w:val="00730F88"/>
    <w:rsid w:val="0074341E"/>
    <w:rsid w:val="007C493E"/>
    <w:rsid w:val="00811FD1"/>
    <w:rsid w:val="008915F3"/>
    <w:rsid w:val="008B557C"/>
    <w:rsid w:val="00942F87"/>
    <w:rsid w:val="009D40D0"/>
    <w:rsid w:val="00B536BE"/>
    <w:rsid w:val="00C02BD7"/>
    <w:rsid w:val="00C05522"/>
    <w:rsid w:val="00C171E6"/>
    <w:rsid w:val="00C62F45"/>
    <w:rsid w:val="00D6330A"/>
    <w:rsid w:val="00D873F2"/>
    <w:rsid w:val="00DB05A3"/>
    <w:rsid w:val="00DD3E4C"/>
    <w:rsid w:val="00DE55CD"/>
    <w:rsid w:val="00E43584"/>
    <w:rsid w:val="00E45E05"/>
    <w:rsid w:val="00E576D3"/>
    <w:rsid w:val="00E63542"/>
    <w:rsid w:val="00E80FEE"/>
    <w:rsid w:val="00EA049F"/>
    <w:rsid w:val="00EE0599"/>
    <w:rsid w:val="00F73673"/>
    <w:rsid w:val="00F83373"/>
    <w:rsid w:val="00FD1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832</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32</cp:revision>
  <cp:lastPrinted>2025-09-11T00:43:00Z</cp:lastPrinted>
  <dcterms:created xsi:type="dcterms:W3CDTF">2025-03-09T10:16:00Z</dcterms:created>
  <dcterms:modified xsi:type="dcterms:W3CDTF">2026-06-30T07:48:00Z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